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tbl>
      <w:tblPr>
        <w:tblW w:w="10638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1188"/>
        <w:gridCol w:w="1530"/>
        <w:gridCol w:w="2340"/>
        <w:gridCol w:w="2520"/>
        <w:gridCol w:w="1890"/>
        <w:gridCol w:w="1170"/>
        <w:gridCol w:w="-213"/>
        <w:gridCol w:w="-213"/>
        <w:gridCol w:w="-213"/>
        <w:gridCol w:w="-213"/>
        <w:gridCol w:w="-213"/>
        <w:gridCol w:w="-213"/>
      </w:tblGrid>
      <w:tr>
        <w:trPr>
          <w:trHeight w:val="72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20"/>
                <w:rtl w:val="0"/>
              </w:rPr>
              <w:t xml:space="preserve">Calendar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20"/>
                <w:rtl w:val="0"/>
              </w:rPr>
              <w:t xml:space="preserve">Time Period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20"/>
                <w:rtl w:val="0"/>
              </w:rPr>
              <w:t xml:space="preserve">Skill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20"/>
                <w:rtl w:val="0"/>
              </w:rPr>
              <w:t xml:space="preserve">Content Markers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20"/>
                <w:rtl w:val="0"/>
              </w:rPr>
              <w:t xml:space="preserve">Theme &amp; Anchor Questions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20"/>
                <w:rtl w:val="0"/>
              </w:rPr>
              <w:t xml:space="preserve">Resources</w:t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20"/>
                <w:rtl w:val="0"/>
              </w:rPr>
              <w:t xml:space="preserve">Colonial America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40" w:before="0"/>
              <w:ind w:left="328" w:hanging="359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342" w:hanging="359"/>
            </w:pPr>
            <w:r w:rsidRPr="00000000" w:rsidR="00000000" w:rsidDel="00000000">
              <w:rPr>
                <w:sz w:val="20"/>
                <w:rtl w:val="0"/>
              </w:rPr>
              <w:t xml:space="preserve">Columbian Exchange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342" w:hanging="359"/>
            </w:pPr>
            <w:r w:rsidRPr="00000000" w:rsidR="00000000" w:rsidDel="00000000">
              <w:rPr>
                <w:sz w:val="20"/>
                <w:rtl w:val="0"/>
              </w:rPr>
              <w:t xml:space="preserve">Jamestown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342" w:hanging="359"/>
            </w:pPr>
            <w:r w:rsidRPr="00000000" w:rsidR="00000000" w:rsidDel="00000000">
              <w:rPr>
                <w:sz w:val="20"/>
                <w:rtl w:val="0"/>
              </w:rPr>
              <w:t xml:space="preserve">House of Burgess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342" w:hanging="359"/>
            </w:pPr>
            <w:r w:rsidRPr="00000000" w:rsidR="00000000" w:rsidDel="00000000">
              <w:rPr>
                <w:sz w:val="20"/>
                <w:rtl w:val="0"/>
              </w:rPr>
              <w:t xml:space="preserve">Pilgrims/Puritans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342" w:hanging="359"/>
            </w:pPr>
            <w:r w:rsidRPr="00000000" w:rsidR="00000000" w:rsidDel="00000000">
              <w:rPr>
                <w:sz w:val="20"/>
                <w:rtl w:val="0"/>
              </w:rPr>
              <w:t xml:space="preserve">Mercantilism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342" w:hanging="359"/>
            </w:pPr>
            <w:r w:rsidRPr="00000000" w:rsidR="00000000" w:rsidDel="00000000">
              <w:rPr>
                <w:sz w:val="20"/>
                <w:rtl w:val="0"/>
              </w:rPr>
              <w:t xml:space="preserve">Triangle Trade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342" w:hanging="359"/>
            </w:pPr>
            <w:r w:rsidRPr="00000000" w:rsidR="00000000" w:rsidDel="00000000">
              <w:rPr>
                <w:sz w:val="20"/>
                <w:rtl w:val="0"/>
              </w:rPr>
              <w:t xml:space="preserve">Salutary Neglect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342" w:hanging="359"/>
            </w:pPr>
            <w:r w:rsidRPr="00000000" w:rsidR="00000000" w:rsidDel="00000000">
              <w:rPr>
                <w:sz w:val="20"/>
                <w:rtl w:val="0"/>
              </w:rPr>
              <w:t xml:space="preserve">French &amp; Indian War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5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20"/>
                <w:rtl w:val="0"/>
              </w:rPr>
              <w:t xml:space="preserve">War for Independence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40" w:before="0"/>
              <w:ind w:left="376" w:hanging="359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Examples of British Tyranny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Sons of Liberty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Boston Tea Party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Intolerable Acts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Lexington &amp; Concord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Patriots vs. Loyalists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Founding Fathers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Thomas Jefferson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Declaration of Independence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Battle of Yorktown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5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20"/>
                <w:rtl w:val="0"/>
              </w:rPr>
              <w:t xml:space="preserve">The Philadelphia Convention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40" w:before="0"/>
              <w:ind w:left="376" w:hanging="359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Articles of Confederation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Constitutional Convention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Virginia Plan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The Great Compromise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3/5ths Compromise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Federalist vs. Anti-Federalists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Bill of Rights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Democratic Republican vs. Federalists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Marbury v. Madison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Louisiana Purchase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5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20"/>
                <w:rtl w:val="0"/>
              </w:rPr>
              <w:t xml:space="preserve">Age of Jackson, Growth, &amp; North/South Tensions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40" w:before="0"/>
              <w:ind w:left="376" w:hanging="359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Capitalism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Early US Industrialism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Tariff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Monroe Doctrine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Missouri Compromise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Andrew Jackson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Universal Male Suffrage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Trail of Tears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Market Economy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Manifest Destiny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Abolitionism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Compromise of 1850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Kansas-Nebraska Act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The Republican Party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Election of 1860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Southern Secession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5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20"/>
                <w:rtl w:val="0"/>
              </w:rPr>
              <w:t xml:space="preserve">Civil War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40" w:before="0"/>
              <w:ind w:left="376" w:hanging="359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Lincoln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Ft. Sumter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Jefferson Davis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Antietam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Emancipation Proclamation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Gettysburg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Ulysses S. Grant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Appomattox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John Wilkes Booth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5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20"/>
                <w:rtl w:val="0"/>
              </w:rPr>
              <w:t xml:space="preserve">Reconstruction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40" w:before="0"/>
              <w:ind w:left="376" w:hanging="359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Johnson’s Plan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Freedman’s Bureau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Radical Republicans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13th Amendment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14th Amendment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15th Amendment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Johnson’s Impeachment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Black Codes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KKK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Sharecropping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Compromise of 1877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20"/>
                <w:rtl w:val="0"/>
              </w:rPr>
              <w:t xml:space="preserve">Write two arguements: #1 Why was Reconstruction successful? #2 Why was Reconstruction not successful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5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20"/>
                <w:rtl w:val="0"/>
              </w:rPr>
              <w:t xml:space="preserve">Taming the West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40" w:before="0"/>
              <w:ind w:left="376" w:hanging="359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Homestead Act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Transcontinental Railroad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Western Extractive Industries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Reservations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New “Western” Agriculture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Deflation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“Free Silver”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Gold Standard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Monetary Policy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Populism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William Jennings Bryan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5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20"/>
                <w:rtl w:val="0"/>
              </w:rPr>
              <w:t xml:space="preserve">Eastern Industrialism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40" w:before="0"/>
              <w:ind w:left="376" w:hanging="359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Alexander G. Bell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Thomas Edison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Andrew Carnegie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Steel Belt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Social Darwinism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John D. Rockefeller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Horizontal Integration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Vertical Integration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Monopoly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Robber Barons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Capital Resources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5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sz w:val="20"/>
                <w:rtl w:val="0"/>
              </w:rPr>
              <w:t xml:space="preserve">Labor Unions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Laissez Faire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Labor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Labor Unions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Labor Strike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Gilded Age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Socialism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Knights of Labor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American Federation of Labor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Samuel Gompers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Interstate Commerce Act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sz w:val="20"/>
                <w:rtl w:val="0"/>
              </w:rPr>
              <w:t xml:space="preserve">Evaluate how effective labor unions were during the 1800s.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5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20"/>
                <w:rtl w:val="0"/>
              </w:rPr>
              <w:t xml:space="preserve">Immigration &amp; Urbanization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40" w:before="0"/>
              <w:ind w:left="376" w:hanging="359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Ellis Island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Immigration Stations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Nativism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Assimilation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Social Gospel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Settlement Houses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The “Do Nothing” Presidents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Political Machine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Civil Service Reform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5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20"/>
                <w:rtl w:val="0"/>
              </w:rPr>
              <w:t xml:space="preserve">America Builds an Empire (American Imperialism)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40" w:before="0"/>
              <w:ind w:left="376" w:hanging="359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Imperialism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Open Door Policy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Alfred T. Mahan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Yellow Journalism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The USS Maine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Spanish-American War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Teddy Roosevelt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Rough Riders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Philippine Insurrection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Panama Canal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Roosevelt Corollary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5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20"/>
                <w:rtl w:val="0"/>
              </w:rPr>
              <w:t xml:space="preserve">Turn-of-the-Century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40" w:before="0"/>
              <w:ind w:left="376" w:hanging="359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JIm Crow Laws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Lynching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Plessy v. Ferguson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Booker T. Washington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WEB DuBois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Mass Circulation News Papers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Electric Trolley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The Subway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The Department Store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Skyscrapers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The Wright Brothers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5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20"/>
                <w:rtl w:val="0"/>
              </w:rPr>
              <w:t xml:space="preserve">Progressive Era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40" w:before="0"/>
              <w:ind w:left="376" w:hanging="359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Muckrakers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Progressive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Upton Sinclair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Jacob Riis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Robert M. LaFollette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Direct Primary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Recall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Initiative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Referendum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Teddy Roosevelt’s Squre Deal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Railroad Regulation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Food &amp; Drug Administration (FDA)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Conservation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Suffrage Movement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NAACP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16th Amendment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17th Amendment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18th Amendment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19th Amendment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Federal Trade Commission (FTC)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5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20"/>
                <w:rtl w:val="0"/>
              </w:rPr>
              <w:t xml:space="preserve">World War I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40" w:before="0"/>
              <w:ind w:left="376" w:hanging="359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Imperialism, Nationalism, Militarism, Alliance System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Allied Powers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Central Powers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Trench Warfare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Zimmerman Note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Espinage &amp; Sedition Act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Schenk vs. US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England’s “Blockade”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Sub Warfare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Lusitania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Shortages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Rationing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Wilson’s 14 points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Bolshevik Revolution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Treaty of Versailles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Great Migration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Communism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Bolshevik Revolution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League of Nations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5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20"/>
                <w:rtl w:val="0"/>
              </w:rPr>
              <w:t xml:space="preserve">Post War America / A Return to Normalcy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40" w:before="0"/>
              <w:ind w:left="376" w:hanging="359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Installment Plan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Quota System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Prohibition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Post-War Recession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“20’s” Labor Strikes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The Red Scare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Nativism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Saco &amp; Vanzetti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Isolationism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The Palmer Raids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“Normalcy”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1920 election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Teapot Dome Scandal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5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20"/>
                <w:rtl w:val="0"/>
              </w:rPr>
              <w:t xml:space="preserve">The Roaring 20s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40" w:before="0"/>
              <w:ind w:left="376" w:hanging="359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The Model T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Mass Electrification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Mass Radio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Buying goods on credit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Economic Boom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Speakeasies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Jazz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Louis Armstrong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Harlem Renaissance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Flappers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Organized Crime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Fundamentalism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Scopes Trial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The New KKK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5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20"/>
                <w:rtl w:val="0"/>
              </w:rPr>
              <w:t xml:space="preserve">The Great Depression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40" w:before="0"/>
              <w:ind w:left="376" w:hanging="359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Profit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Shortages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Surpluses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Supply &amp; Demance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Unemployment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Trading on Margin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Over-speculation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Stock Market Crash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Bank Failures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The Great Depression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Foreclosure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Hobos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Hoovervilles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Soup Kitchens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The Dust Bowl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Herbert Hoover’s RFC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The Bonus Army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5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20"/>
                <w:rtl w:val="0"/>
              </w:rPr>
              <w:t xml:space="preserve">FDR &amp; The New Deal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40" w:before="0"/>
              <w:ind w:left="376" w:hanging="359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FDR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The New Democratic Coalition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Keynesian Economics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The New Deal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The 100 Days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Fireside Chats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Relief, Recovery, &amp; Reform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National Recovery Administration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AAA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TVA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CCC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WPA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Social Security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Huey Long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Court Packing Scheme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Deficit Spending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5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20"/>
                <w:rtl w:val="0"/>
              </w:rPr>
              <w:t xml:space="preserve">Rise of the Axis Power / WWII Begins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40" w:before="0"/>
              <w:ind w:left="376" w:hanging="359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Joseph Stalin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Mussolini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Fascism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Tojo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Nazis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Adolf Hitler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The German Miracle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Anschluss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Sudentenland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Appeasement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US Neutrality Acts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Nazi-Soviet Pact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Blitzkrieg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Sitzkrieg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Winston Churchill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Kristallnacht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Atlantic Charter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Lend-Lease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Pearl Harbor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5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20"/>
                <w:rtl w:val="0"/>
              </w:rPr>
              <w:t xml:space="preserve">WWII – Allies Comeback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40" w:before="0"/>
              <w:ind w:left="376" w:hanging="359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Grand Allies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General Eisenhower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North African Campaign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Air Compaign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Normandy (D-Day)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The Holocaust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Genocide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General Patton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Yalta Conference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Island Hopping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Korematsu v. US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Rosie the Riveter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General Douglas MacArthur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Potsdam Conference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Hiroshima &amp; Nagasaki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A. Phillip Randolph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sz w:val="20"/>
                <w:rtl w:val="0"/>
              </w:rPr>
              <w:t xml:space="preserve">Manhattan Project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5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20"/>
                <w:rtl w:val="0"/>
              </w:rPr>
              <w:t xml:space="preserve">Post-World War II:  “Dark Cloud”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40" w:before="0"/>
              <w:ind w:left="376" w:hanging="359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5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20"/>
                <w:rtl w:val="0"/>
              </w:rPr>
              <w:t xml:space="preserve">Eisenhower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40" w:before="0"/>
              <w:ind w:left="376" w:hanging="359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5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20"/>
                <w:rtl w:val="0"/>
              </w:rPr>
              <w:t xml:space="preserve">The Early Civil Rights Movement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40" w:before="0"/>
              <w:ind w:left="376" w:hanging="359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5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20"/>
                <w:rtl w:val="0"/>
              </w:rPr>
              <w:t xml:space="preserve">JFK &amp; LBJ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sz w:val="20"/>
                <w:rtl w:val="0"/>
              </w:rPr>
              <w:t xml:space="preserve">Bright Future to Dawn of Dark Age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40" w:before="0"/>
              <w:ind w:left="376" w:hanging="359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301" w:hanging="359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5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20"/>
                <w:rtl w:val="0"/>
              </w:rPr>
              <w:t xml:space="preserve">Vietnam &amp; Tension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40" w:before="0"/>
              <w:ind w:left="376" w:hanging="359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sz w:val="20"/>
                <w:rtl w:val="0"/>
              </w:rPr>
              <w:t xml:space="preserve">Vietnam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sz w:val="20"/>
                <w:rtl w:val="0"/>
              </w:rPr>
              <w:t xml:space="preserve">Ho chi Minh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sz w:val="20"/>
                <w:rtl w:val="0"/>
              </w:rPr>
              <w:t xml:space="preserve">Domino Theory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sz w:val="20"/>
                <w:rtl w:val="0"/>
              </w:rPr>
              <w:t xml:space="preserve">Tonkin Gulf Resolution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sz w:val="20"/>
                <w:rtl w:val="0"/>
              </w:rPr>
              <w:t xml:space="preserve">“Search &amp; Destroy”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sz w:val="20"/>
                <w:rtl w:val="0"/>
              </w:rPr>
              <w:t xml:space="preserve">S.D.S.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sz w:val="20"/>
                <w:rtl w:val="0"/>
              </w:rPr>
              <w:t xml:space="preserve">Hawk vs. Doves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sz w:val="20"/>
                <w:rtl w:val="0"/>
              </w:rPr>
              <w:t xml:space="preserve">1968!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sz w:val="20"/>
                <w:rtl w:val="0"/>
              </w:rPr>
              <w:t xml:space="preserve">Tet Offensive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sz w:val="20"/>
                <w:rtl w:val="0"/>
              </w:rPr>
              <w:t xml:space="preserve">King &amp; R.F.K. Assassinations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sz w:val="20"/>
                <w:rtl w:val="0"/>
              </w:rPr>
              <w:t xml:space="preserve">Chicago Dem. Nat. Convention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5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20"/>
                <w:rtl w:val="0"/>
              </w:rPr>
              <w:t xml:space="preserve">Social Revolution &amp; Hope?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40" w:before="0"/>
              <w:ind w:left="376" w:hanging="359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sz w:val="20"/>
                <w:rtl w:val="0"/>
              </w:rPr>
              <w:t xml:space="preserve">The Counterculture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sz w:val="20"/>
                <w:rtl w:val="0"/>
              </w:rPr>
              <w:t xml:space="preserve">Communes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sz w:val="20"/>
                <w:rtl w:val="0"/>
              </w:rPr>
              <w:t xml:space="preserve">Feminism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sz w:val="20"/>
                <w:rtl w:val="0"/>
              </w:rPr>
              <w:t xml:space="preserve">Moon-Landing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sz w:val="20"/>
                <w:rtl w:val="0"/>
              </w:rPr>
              <w:t xml:space="preserve">Kent State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sz w:val="20"/>
                <w:rtl w:val="0"/>
              </w:rPr>
              <w:t xml:space="preserve">De’tente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sz w:val="20"/>
                <w:rtl w:val="0"/>
              </w:rPr>
              <w:t xml:space="preserve">Nixon’s Soviet &amp; Chinan Visits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sz w:val="20"/>
                <w:rtl w:val="0"/>
              </w:rPr>
              <w:t xml:space="preserve">Vietnamation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sz w:val="20"/>
                <w:rtl w:val="0"/>
              </w:rPr>
              <w:t xml:space="preserve">War Powers Act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5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20"/>
                <w:rtl w:val="0"/>
              </w:rPr>
              <w:t xml:space="preserve">Nixon, Ford, &amp; Carter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40" w:before="0"/>
              <w:ind w:left="376" w:hanging="359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sz w:val="20"/>
                <w:rtl w:val="0"/>
              </w:rPr>
              <w:t xml:space="preserve">Watergate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sz w:val="20"/>
                <w:rtl w:val="0"/>
              </w:rPr>
              <w:t xml:space="preserve">Gerald R. Ford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sz w:val="20"/>
                <w:rtl w:val="0"/>
              </w:rPr>
              <w:t xml:space="preserve">INflarion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sz w:val="20"/>
                <w:rtl w:val="0"/>
              </w:rPr>
              <w:t xml:space="preserve">JImmy Carter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sz w:val="20"/>
                <w:rtl w:val="0"/>
              </w:rPr>
              <w:t xml:space="preserve">Campdavid Accords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sz w:val="20"/>
                <w:rtl w:val="0"/>
              </w:rPr>
              <w:t xml:space="preserve">Arab Oil Embargo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sz w:val="20"/>
                <w:rtl w:val="0"/>
              </w:rPr>
              <w:t xml:space="preserve">Stagflation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sz w:val="20"/>
                <w:rtl w:val="0"/>
              </w:rPr>
              <w:t xml:space="preserve">Soviet Superiority?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sz w:val="20"/>
                <w:rtl w:val="0"/>
              </w:rPr>
              <w:t xml:space="preserve">Malaise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sz w:val="20"/>
                <w:rtl w:val="0"/>
              </w:rPr>
              <w:t xml:space="preserve">Iranian Hostage Crisis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sz w:val="20"/>
                <w:rtl w:val="0"/>
              </w:rPr>
              <w:t xml:space="preserve">Environmentalism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5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20"/>
                <w:rtl w:val="0"/>
              </w:rPr>
              <w:t xml:space="preserve">Reagan Revolution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40" w:before="0"/>
              <w:ind w:left="376" w:hanging="359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sz w:val="20"/>
                <w:rtl w:val="0"/>
              </w:rPr>
              <w:t xml:space="preserve">“Entitlements”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sz w:val="20"/>
                <w:rtl w:val="0"/>
              </w:rPr>
              <w:t xml:space="preserve">Reverse Discrimination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sz w:val="20"/>
                <w:rtl w:val="0"/>
              </w:rPr>
              <w:t xml:space="preserve">“New Right” Coalition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sz w:val="20"/>
                <w:rtl w:val="0"/>
              </w:rPr>
              <w:t xml:space="preserve">Reagan Revolution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sz w:val="20"/>
                <w:rtl w:val="0"/>
              </w:rPr>
              <w:t xml:space="preserve">Supply-side Economics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sz w:val="20"/>
                <w:rtl w:val="0"/>
              </w:rPr>
              <w:t xml:space="preserve">Deregulation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sz w:val="20"/>
                <w:rtl w:val="0"/>
              </w:rPr>
              <w:t xml:space="preserve">80’s Boom’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sz w:val="20"/>
                <w:rtl w:val="0"/>
              </w:rPr>
              <w:t xml:space="preserve">Sandra Day O’Connor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sz w:val="20"/>
                <w:rtl w:val="0"/>
              </w:rPr>
              <w:t xml:space="preserve">S.D.I.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sz w:val="20"/>
                <w:rtl w:val="0"/>
              </w:rPr>
              <w:t xml:space="preserve">Mikhial Gorbachev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sz w:val="20"/>
                <w:rtl w:val="0"/>
              </w:rPr>
              <w:t xml:space="preserve">Iran-Contra Scandal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sz w:val="20"/>
                <w:rtl w:val="0"/>
              </w:rPr>
              <w:t xml:space="preserve">George Bush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sz w:val="20"/>
                <w:rtl w:val="0"/>
              </w:rPr>
              <w:t xml:space="preserve">Fall of the Soviet UnionPersian Gulf War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5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20"/>
                <w:rtl w:val="0"/>
              </w:rPr>
              <w:t xml:space="preserve">Tech Boom &amp; Political Polarization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40" w:before="0"/>
              <w:ind w:left="376" w:hanging="359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sz w:val="20"/>
                <w:rtl w:val="0"/>
              </w:rPr>
              <w:t xml:space="preserve">Clobalization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sz w:val="20"/>
                <w:rtl w:val="0"/>
              </w:rPr>
              <w:t xml:space="preserve">Bill Clinton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sz w:val="20"/>
                <w:rtl w:val="0"/>
              </w:rPr>
              <w:t xml:space="preserve">Terror Attacks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sz w:val="20"/>
                <w:rtl w:val="0"/>
              </w:rPr>
              <w:t xml:space="preserve">Clinton Scandals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sz w:val="20"/>
                <w:rtl w:val="0"/>
              </w:rPr>
              <w:t xml:space="preserve">Contract With America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sz w:val="20"/>
                <w:rtl w:val="0"/>
              </w:rPr>
              <w:t xml:space="preserve">2000 Election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5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bookmarkStart w:id="0" w:colFirst="0" w:name="h.gjdgxs" w:colLast="0"/>
            <w:bookmarkEnd w:id="0"/>
            <w:r w:rsidRPr="00000000" w:rsidR="00000000" w:rsidDel="00000000">
              <w:rPr>
                <w:sz w:val="20"/>
                <w:rtl w:val="0"/>
              </w:rPr>
              <w:t xml:space="preserve">Recent History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40" w:before="0"/>
              <w:ind w:left="376" w:hanging="359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5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bookmarkStart w:id="0" w:colFirst="0" w:name="h.gjdgxs" w:colLast="0"/>
            <w:bookmarkEnd w:id="0"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376" w:right="0" w:hanging="359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sz w:val="20"/>
                <w:rtl w:val="0"/>
              </w:rPr>
              <w:t xml:space="preserve">9-11 Attack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sz w:val="20"/>
                <w:rtl w:val="0"/>
              </w:rPr>
              <w:t xml:space="preserve">Islamic Terrorist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sz w:val="20"/>
                <w:rtl w:val="0"/>
              </w:rPr>
              <w:t xml:space="preserve">Iraq War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sz w:val="20"/>
                <w:rtl w:val="0"/>
              </w:rPr>
              <w:t xml:space="preserve">Patriot Act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sz w:val="20"/>
                <w:rtl w:val="0"/>
              </w:rPr>
              <w:t xml:space="preserve">Illegal Immigrants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sz w:val="20"/>
                <w:rtl w:val="0"/>
              </w:rPr>
              <w:t xml:space="preserve">Afgan War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76" w:hanging="359"/>
            </w:pPr>
            <w:r w:rsidRPr="00000000" w:rsidR="00000000" w:rsidDel="00000000">
              <w:rPr>
                <w:sz w:val="20"/>
                <w:rtl w:val="0"/>
              </w:rPr>
              <w:t xml:space="preserve">National Debt Crisis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pgSz w:w="12240" w:h="15840"/>
      <w:pgMar w:left="1440" w:right="1440" w:top="1152" w:bottom="115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jc w:val="left"/>
    </w:pPr>
    <w:rPr>
      <w:rFonts w:cs="Cambria" w:hAnsi="Cambria" w:eastAsia="Cambria" w:ascii="Cambria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History 2013-2014 Skills, Content, Calender, Tensions, and Big Ideas.docx</dc:title>
</cp:coreProperties>
</file>